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7769" w:rsidR="00C74F5D" w:rsidP="00C74F5D" w:rsidRDefault="00C74F5D">
      <w:pPr>
        <w:spacing w:after="120"/>
        <w:jc w:val="center"/>
        <w:rPr>
          <w:b/>
          <w:color w:val="2E74B5" w:themeColor="accent1" w:themeShade="BF"/>
          <w:sz w:val="36"/>
          <w:szCs w:val="36"/>
        </w:rPr>
      </w:pPr>
      <w:r w:rsidRPr="007B7769">
        <w:rPr>
          <w:b/>
          <w:color w:val="2E74B5" w:themeColor="accent1" w:themeShade="BF"/>
          <w:sz w:val="36"/>
          <w:szCs w:val="36"/>
        </w:rPr>
        <w:t>INFORMATION SHARING WITHOUT CONSENT FORM</w:t>
      </w:r>
    </w:p>
    <w:p w:rsidRPr="007B7769" w:rsidR="00C74F5D" w:rsidP="00C74F5D" w:rsidRDefault="00C74F5D">
      <w:pPr>
        <w:spacing w:after="0"/>
        <w:jc w:val="center"/>
        <w:rPr>
          <w:b/>
          <w:bCs/>
          <w:szCs w:val="28"/>
          <w:u w:val="single"/>
        </w:rPr>
      </w:pPr>
      <w:r w:rsidRPr="007B7769">
        <w:rPr>
          <w:b/>
          <w:bCs/>
          <w:szCs w:val="28"/>
        </w:rPr>
        <w:t xml:space="preserve">It is recommend that all practitioners have a good working knowledge of the provisions in </w:t>
      </w:r>
      <w:hyperlink w:history="1" r:id="rId5">
        <w:r w:rsidRPr="007B7769">
          <w:rPr>
            <w:rStyle w:val="Hyperlink"/>
            <w:b/>
            <w:szCs w:val="28"/>
          </w:rPr>
          <w:t>The GDPR 2018 and the Data Protection Act 2018)</w:t>
        </w:r>
      </w:hyperlink>
      <w:r w:rsidRPr="007B7769">
        <w:rPr>
          <w:b/>
          <w:bCs/>
          <w:szCs w:val="28"/>
          <w:u w:val="single"/>
        </w:rPr>
        <w:t>.</w:t>
      </w:r>
    </w:p>
    <w:p w:rsidR="00C74F5D" w:rsidP="00C74F5D" w:rsidRDefault="00C74F5D">
      <w:pPr>
        <w:spacing w:after="0"/>
        <w:jc w:val="center"/>
        <w:rPr>
          <w:b/>
          <w:bCs/>
          <w:szCs w:val="28"/>
        </w:rPr>
      </w:pPr>
      <w:r w:rsidRPr="007B7769">
        <w:rPr>
          <w:b/>
          <w:bCs/>
          <w:szCs w:val="28"/>
        </w:rPr>
        <w:t xml:space="preserve">You should also refer to internal policies and your local Marac Operating Protocol/Information </w:t>
      </w:r>
      <w:bookmarkStart w:name="_GoBack" w:id="0"/>
      <w:bookmarkEnd w:id="0"/>
      <w:r w:rsidRPr="007B7769">
        <w:rPr>
          <w:b/>
          <w:bCs/>
          <w:szCs w:val="28"/>
        </w:rPr>
        <w:t>Sharing Protocol.</w:t>
      </w:r>
    </w:p>
    <w:p w:rsidRPr="007B7769" w:rsidR="00C74F5D" w:rsidP="00C74F5D" w:rsidRDefault="00C74F5D">
      <w:pPr>
        <w:spacing w:after="0"/>
        <w:jc w:val="center"/>
        <w:rPr>
          <w:b/>
          <w:szCs w:val="28"/>
        </w:rPr>
      </w:pPr>
    </w:p>
    <w:tbl>
      <w:tblPr>
        <w:tblStyle w:val="TableGrid"/>
        <w:tblW w:w="0" w:type="auto"/>
        <w:tblLook w:val="04A0" w:firstRow="1" w:lastRow="0" w:firstColumn="1" w:lastColumn="0" w:noHBand="0" w:noVBand="1"/>
      </w:tblPr>
      <w:tblGrid>
        <w:gridCol w:w="2405"/>
        <w:gridCol w:w="6611"/>
      </w:tblGrid>
      <w:tr w:rsidR="00C74F5D" w:rsidTr="00D90A5B">
        <w:tc>
          <w:tcPr>
            <w:tcW w:w="2405" w:type="dxa"/>
            <w:shd w:val="clear" w:color="auto" w:fill="D5DCE4" w:themeFill="text2" w:themeFillTint="33"/>
          </w:tcPr>
          <w:p w:rsidRPr="00B15E07" w:rsidR="00C74F5D" w:rsidP="00D90A5B" w:rsidRDefault="00C74F5D">
            <w:pPr>
              <w:spacing w:after="120"/>
              <w:rPr>
                <w:b/>
                <w:color w:val="000000" w:themeColor="text1"/>
                <w:sz w:val="24"/>
                <w:szCs w:val="24"/>
              </w:rPr>
            </w:pPr>
            <w:r w:rsidRPr="00B15E07">
              <w:rPr>
                <w:b/>
                <w:color w:val="000000" w:themeColor="text1"/>
                <w:sz w:val="24"/>
                <w:szCs w:val="24"/>
              </w:rPr>
              <w:t>Victim name and DOB</w:t>
            </w:r>
          </w:p>
        </w:tc>
        <w:tc>
          <w:tcPr>
            <w:tcW w:w="6611" w:type="dxa"/>
          </w:tcPr>
          <w:p w:rsidR="00C74F5D" w:rsidP="00D90A5B" w:rsidRDefault="00C74F5D">
            <w:pPr>
              <w:spacing w:after="240"/>
              <w:jc w:val="both"/>
              <w:rPr>
                <w:sz w:val="24"/>
                <w:szCs w:val="24"/>
              </w:rPr>
            </w:pPr>
          </w:p>
        </w:tc>
      </w:tr>
      <w:tr w:rsidR="00C74F5D" w:rsidTr="00D90A5B">
        <w:tc>
          <w:tcPr>
            <w:tcW w:w="2405" w:type="dxa"/>
            <w:shd w:val="clear" w:color="auto" w:fill="D5DCE4" w:themeFill="text2" w:themeFillTint="33"/>
          </w:tcPr>
          <w:p w:rsidRPr="00B15E07" w:rsidR="00C74F5D" w:rsidP="00D90A5B" w:rsidRDefault="00C74F5D">
            <w:pPr>
              <w:spacing w:after="120"/>
              <w:rPr>
                <w:b/>
                <w:color w:val="000000" w:themeColor="text1"/>
                <w:sz w:val="24"/>
                <w:szCs w:val="24"/>
              </w:rPr>
            </w:pPr>
            <w:r w:rsidRPr="00B15E07">
              <w:rPr>
                <w:b/>
                <w:color w:val="000000" w:themeColor="text1"/>
                <w:sz w:val="24"/>
                <w:szCs w:val="24"/>
              </w:rPr>
              <w:t>Victim address</w:t>
            </w:r>
          </w:p>
        </w:tc>
        <w:tc>
          <w:tcPr>
            <w:tcW w:w="6611" w:type="dxa"/>
          </w:tcPr>
          <w:p w:rsidR="00C74F5D" w:rsidP="00D90A5B" w:rsidRDefault="00C74F5D">
            <w:pPr>
              <w:spacing w:after="240"/>
              <w:rPr>
                <w:sz w:val="24"/>
                <w:szCs w:val="24"/>
              </w:rPr>
            </w:pPr>
          </w:p>
        </w:tc>
      </w:tr>
    </w:tbl>
    <w:p w:rsidR="00C74F5D" w:rsidP="00C74F5D" w:rsidRDefault="00C74F5D">
      <w:pPr>
        <w:spacing w:after="120"/>
        <w:rPr>
          <w:sz w:val="24"/>
          <w:szCs w:val="24"/>
        </w:rPr>
      </w:pPr>
    </w:p>
    <w:tbl>
      <w:tblPr>
        <w:tblStyle w:val="TableGrid"/>
        <w:tblW w:w="0" w:type="auto"/>
        <w:tblLook w:val="04A0" w:firstRow="1" w:lastRow="0" w:firstColumn="1" w:lastColumn="0" w:noHBand="0" w:noVBand="1"/>
      </w:tblPr>
      <w:tblGrid>
        <w:gridCol w:w="2405"/>
        <w:gridCol w:w="992"/>
        <w:gridCol w:w="3686"/>
        <w:gridCol w:w="1933"/>
      </w:tblGrid>
      <w:tr w:rsidR="00C74F5D" w:rsidTr="00D90A5B">
        <w:tc>
          <w:tcPr>
            <w:tcW w:w="2405" w:type="dxa"/>
            <w:shd w:val="clear" w:color="auto" w:fill="D5DCE4" w:themeFill="text2" w:themeFillTint="33"/>
          </w:tcPr>
          <w:p w:rsidRPr="00B15E07" w:rsidR="00C74F5D" w:rsidP="00D90A5B" w:rsidRDefault="00C74F5D">
            <w:pPr>
              <w:spacing w:after="120"/>
              <w:rPr>
                <w:b/>
                <w:color w:val="000000" w:themeColor="text1"/>
                <w:sz w:val="24"/>
                <w:szCs w:val="24"/>
              </w:rPr>
            </w:pPr>
            <w:r w:rsidRPr="00B15E07">
              <w:rPr>
                <w:b/>
                <w:color w:val="000000" w:themeColor="text1"/>
                <w:sz w:val="24"/>
                <w:szCs w:val="24"/>
              </w:rPr>
              <w:t>Children</w:t>
            </w:r>
          </w:p>
        </w:tc>
        <w:tc>
          <w:tcPr>
            <w:tcW w:w="992"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DOB</w:t>
            </w:r>
          </w:p>
        </w:tc>
        <w:tc>
          <w:tcPr>
            <w:tcW w:w="3686"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Address (if different from above)</w:t>
            </w:r>
          </w:p>
        </w:tc>
        <w:tc>
          <w:tcPr>
            <w:tcW w:w="1933"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School</w:t>
            </w:r>
          </w:p>
        </w:tc>
      </w:tr>
      <w:tr w:rsidR="00C74F5D" w:rsidTr="00D90A5B">
        <w:tc>
          <w:tcPr>
            <w:tcW w:w="2405" w:type="dxa"/>
          </w:tcPr>
          <w:p w:rsidR="00C74F5D" w:rsidP="00D90A5B" w:rsidRDefault="00C74F5D">
            <w:pPr>
              <w:spacing w:after="240"/>
              <w:rPr>
                <w:sz w:val="24"/>
                <w:szCs w:val="24"/>
              </w:rPr>
            </w:pPr>
          </w:p>
        </w:tc>
        <w:tc>
          <w:tcPr>
            <w:tcW w:w="992" w:type="dxa"/>
          </w:tcPr>
          <w:p w:rsidR="00C74F5D" w:rsidP="00D90A5B" w:rsidRDefault="00C74F5D">
            <w:pPr>
              <w:spacing w:after="120"/>
              <w:rPr>
                <w:sz w:val="24"/>
                <w:szCs w:val="24"/>
              </w:rPr>
            </w:pPr>
          </w:p>
        </w:tc>
        <w:tc>
          <w:tcPr>
            <w:tcW w:w="3686" w:type="dxa"/>
          </w:tcPr>
          <w:p w:rsidR="00C74F5D" w:rsidP="00D90A5B" w:rsidRDefault="00C74F5D">
            <w:pPr>
              <w:spacing w:after="120"/>
              <w:rPr>
                <w:sz w:val="24"/>
                <w:szCs w:val="24"/>
              </w:rPr>
            </w:pPr>
          </w:p>
        </w:tc>
        <w:tc>
          <w:tcPr>
            <w:tcW w:w="1933" w:type="dxa"/>
          </w:tcPr>
          <w:p w:rsidR="00C74F5D" w:rsidP="00D90A5B" w:rsidRDefault="00C74F5D">
            <w:pPr>
              <w:spacing w:after="120"/>
              <w:rPr>
                <w:sz w:val="24"/>
                <w:szCs w:val="24"/>
              </w:rPr>
            </w:pPr>
          </w:p>
        </w:tc>
      </w:tr>
      <w:tr w:rsidR="00C74F5D" w:rsidTr="00D90A5B">
        <w:tc>
          <w:tcPr>
            <w:tcW w:w="2405" w:type="dxa"/>
          </w:tcPr>
          <w:p w:rsidR="00C74F5D" w:rsidP="00D90A5B" w:rsidRDefault="00C74F5D">
            <w:pPr>
              <w:spacing w:after="240"/>
              <w:rPr>
                <w:sz w:val="24"/>
                <w:szCs w:val="24"/>
              </w:rPr>
            </w:pPr>
          </w:p>
        </w:tc>
        <w:tc>
          <w:tcPr>
            <w:tcW w:w="992" w:type="dxa"/>
          </w:tcPr>
          <w:p w:rsidR="00C74F5D" w:rsidP="00D90A5B" w:rsidRDefault="00C74F5D">
            <w:pPr>
              <w:spacing w:after="120"/>
              <w:rPr>
                <w:sz w:val="24"/>
                <w:szCs w:val="24"/>
              </w:rPr>
            </w:pPr>
          </w:p>
        </w:tc>
        <w:tc>
          <w:tcPr>
            <w:tcW w:w="3686" w:type="dxa"/>
          </w:tcPr>
          <w:p w:rsidR="00C74F5D" w:rsidP="00D90A5B" w:rsidRDefault="00C74F5D">
            <w:pPr>
              <w:spacing w:after="120"/>
              <w:rPr>
                <w:sz w:val="24"/>
                <w:szCs w:val="24"/>
              </w:rPr>
            </w:pPr>
          </w:p>
        </w:tc>
        <w:tc>
          <w:tcPr>
            <w:tcW w:w="1933" w:type="dxa"/>
          </w:tcPr>
          <w:p w:rsidR="00C74F5D" w:rsidP="00D90A5B" w:rsidRDefault="00C74F5D">
            <w:pPr>
              <w:spacing w:after="120"/>
              <w:rPr>
                <w:sz w:val="24"/>
                <w:szCs w:val="24"/>
              </w:rPr>
            </w:pPr>
          </w:p>
        </w:tc>
      </w:tr>
      <w:tr w:rsidR="00C74F5D" w:rsidTr="00D90A5B">
        <w:tc>
          <w:tcPr>
            <w:tcW w:w="2405" w:type="dxa"/>
          </w:tcPr>
          <w:p w:rsidR="00C74F5D" w:rsidP="00D90A5B" w:rsidRDefault="00C74F5D">
            <w:pPr>
              <w:spacing w:after="240"/>
              <w:rPr>
                <w:sz w:val="24"/>
                <w:szCs w:val="24"/>
              </w:rPr>
            </w:pPr>
          </w:p>
        </w:tc>
        <w:tc>
          <w:tcPr>
            <w:tcW w:w="992" w:type="dxa"/>
          </w:tcPr>
          <w:p w:rsidR="00C74F5D" w:rsidP="00D90A5B" w:rsidRDefault="00C74F5D">
            <w:pPr>
              <w:spacing w:after="120"/>
              <w:rPr>
                <w:sz w:val="24"/>
                <w:szCs w:val="24"/>
              </w:rPr>
            </w:pPr>
          </w:p>
        </w:tc>
        <w:tc>
          <w:tcPr>
            <w:tcW w:w="3686" w:type="dxa"/>
          </w:tcPr>
          <w:p w:rsidR="00C74F5D" w:rsidP="00D90A5B" w:rsidRDefault="00C74F5D">
            <w:pPr>
              <w:spacing w:after="120"/>
              <w:rPr>
                <w:sz w:val="24"/>
                <w:szCs w:val="24"/>
              </w:rPr>
            </w:pPr>
          </w:p>
        </w:tc>
        <w:tc>
          <w:tcPr>
            <w:tcW w:w="1933" w:type="dxa"/>
          </w:tcPr>
          <w:p w:rsidR="00C74F5D" w:rsidP="00D90A5B" w:rsidRDefault="00C74F5D">
            <w:pPr>
              <w:spacing w:after="120"/>
              <w:rPr>
                <w:sz w:val="24"/>
                <w:szCs w:val="24"/>
              </w:rPr>
            </w:pPr>
          </w:p>
        </w:tc>
      </w:tr>
    </w:tbl>
    <w:p w:rsidR="00C74F5D" w:rsidP="00C74F5D" w:rsidRDefault="00C74F5D">
      <w:pPr>
        <w:spacing w:after="120"/>
        <w:rPr>
          <w:sz w:val="24"/>
          <w:szCs w:val="24"/>
        </w:rPr>
      </w:pPr>
    </w:p>
    <w:tbl>
      <w:tblPr>
        <w:tblStyle w:val="TableGrid"/>
        <w:tblW w:w="0" w:type="auto"/>
        <w:tblLook w:val="04A0" w:firstRow="1" w:lastRow="0" w:firstColumn="1" w:lastColumn="0" w:noHBand="0" w:noVBand="1"/>
      </w:tblPr>
      <w:tblGrid>
        <w:gridCol w:w="2405"/>
        <w:gridCol w:w="6611"/>
      </w:tblGrid>
      <w:tr w:rsidR="00C74F5D" w:rsidTr="00D90A5B">
        <w:tc>
          <w:tcPr>
            <w:tcW w:w="2405"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Perpetrator name and DOB</w:t>
            </w:r>
          </w:p>
        </w:tc>
        <w:tc>
          <w:tcPr>
            <w:tcW w:w="6611" w:type="dxa"/>
          </w:tcPr>
          <w:p w:rsidR="00C74F5D" w:rsidP="00D90A5B" w:rsidRDefault="00C74F5D">
            <w:pPr>
              <w:spacing w:after="120"/>
              <w:rPr>
                <w:sz w:val="24"/>
                <w:szCs w:val="24"/>
              </w:rPr>
            </w:pPr>
          </w:p>
        </w:tc>
      </w:tr>
      <w:tr w:rsidR="00C74F5D" w:rsidTr="00D90A5B">
        <w:tc>
          <w:tcPr>
            <w:tcW w:w="2405"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Address (if different from above)</w:t>
            </w:r>
          </w:p>
        </w:tc>
        <w:tc>
          <w:tcPr>
            <w:tcW w:w="6611" w:type="dxa"/>
          </w:tcPr>
          <w:p w:rsidR="00C74F5D" w:rsidP="00D90A5B" w:rsidRDefault="00C74F5D">
            <w:pPr>
              <w:spacing w:after="120"/>
              <w:rPr>
                <w:sz w:val="24"/>
                <w:szCs w:val="24"/>
              </w:rPr>
            </w:pPr>
          </w:p>
        </w:tc>
      </w:tr>
      <w:tr w:rsidR="00C74F5D" w:rsidTr="00D90A5B">
        <w:tc>
          <w:tcPr>
            <w:tcW w:w="2405" w:type="dxa"/>
            <w:shd w:val="clear" w:color="auto" w:fill="D5DCE4" w:themeFill="text2" w:themeFillTint="33"/>
          </w:tcPr>
          <w:p w:rsidRPr="00B15E07" w:rsidR="00C74F5D" w:rsidP="00D90A5B" w:rsidRDefault="00C74F5D">
            <w:pPr>
              <w:spacing w:after="120"/>
              <w:rPr>
                <w:b/>
                <w:sz w:val="24"/>
                <w:szCs w:val="24"/>
              </w:rPr>
            </w:pPr>
          </w:p>
        </w:tc>
        <w:tc>
          <w:tcPr>
            <w:tcW w:w="6611" w:type="dxa"/>
          </w:tcPr>
          <w:p w:rsidR="00C74F5D" w:rsidP="00D90A5B" w:rsidRDefault="00C74F5D">
            <w:pPr>
              <w:spacing w:after="120"/>
              <w:rPr>
                <w:rFonts w:ascii="Arial" w:hAnsi="Arial" w:cs="Arial"/>
              </w:rPr>
            </w:pPr>
          </w:p>
        </w:tc>
      </w:tr>
    </w:tbl>
    <w:p w:rsidR="00C74F5D" w:rsidP="00C74F5D" w:rsidRDefault="00C74F5D">
      <w:pPr>
        <w:spacing w:after="120"/>
        <w:rPr>
          <w:sz w:val="24"/>
          <w:szCs w:val="24"/>
        </w:rPr>
      </w:pPr>
    </w:p>
    <w:p w:rsidRPr="007B7769" w:rsidR="00C74F5D" w:rsidP="00C74F5D" w:rsidRDefault="00C74F5D">
      <w:pPr>
        <w:spacing w:after="120"/>
        <w:rPr>
          <w:b/>
          <w:color w:val="2E74B5" w:themeColor="accent1" w:themeShade="BF"/>
          <w:sz w:val="24"/>
          <w:szCs w:val="24"/>
        </w:rPr>
      </w:pPr>
      <w:r w:rsidRPr="007B7769">
        <w:rPr>
          <w:b/>
          <w:color w:val="2E74B5" w:themeColor="accent1" w:themeShade="BF"/>
          <w:sz w:val="24"/>
          <w:szCs w:val="24"/>
        </w:rPr>
        <w:t>CONCERNS AND RISK INFORMATION:</w:t>
      </w:r>
    </w:p>
    <w:tbl>
      <w:tblPr>
        <w:tblStyle w:val="TableGrid"/>
        <w:tblW w:w="9067" w:type="dxa"/>
        <w:tblLook w:val="04A0" w:firstRow="1" w:lastRow="0" w:firstColumn="1" w:lastColumn="0" w:noHBand="0" w:noVBand="1"/>
      </w:tblPr>
      <w:tblGrid>
        <w:gridCol w:w="1413"/>
        <w:gridCol w:w="4961"/>
        <w:gridCol w:w="2693"/>
      </w:tblGrid>
      <w:tr w:rsidR="00C74F5D" w:rsidTr="00D90A5B">
        <w:tc>
          <w:tcPr>
            <w:tcW w:w="1413"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Who are you concerned about</w:t>
            </w:r>
          </w:p>
        </w:tc>
        <w:tc>
          <w:tcPr>
            <w:tcW w:w="4961"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What are your concerns or worries?  Include who they may be at risk from (may include self-harm)</w:t>
            </w:r>
          </w:p>
        </w:tc>
        <w:tc>
          <w:tcPr>
            <w:tcW w:w="2693"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Are there any immediate concerns requiring immediate action</w:t>
            </w: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t>Victim</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t>Child / Children</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t>Perpetrator</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t>Family member</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lastRenderedPageBreak/>
              <w:t>Agency Staff</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bl>
    <w:p w:rsidR="00C74F5D" w:rsidP="00C74F5D" w:rsidRDefault="00C74F5D">
      <w:pPr>
        <w:spacing w:after="0"/>
        <w:rPr>
          <w:sz w:val="24"/>
          <w:szCs w:val="24"/>
        </w:rPr>
      </w:pPr>
    </w:p>
    <w:p w:rsidR="00C74F5D" w:rsidP="00C74F5D" w:rsidRDefault="00C74F5D">
      <w:pPr>
        <w:spacing w:after="0"/>
        <w:rPr>
          <w:sz w:val="24"/>
          <w:szCs w:val="24"/>
        </w:rPr>
      </w:pPr>
    </w:p>
    <w:p w:rsidR="00C74F5D" w:rsidP="00C74F5D" w:rsidRDefault="00C74F5D">
      <w:pPr>
        <w:spacing w:after="0"/>
        <w:rPr>
          <w:sz w:val="24"/>
          <w:szCs w:val="24"/>
        </w:rPr>
      </w:pPr>
    </w:p>
    <w:p w:rsidRPr="007B7769" w:rsidR="00C74F5D" w:rsidP="00C74F5D" w:rsidRDefault="00C74F5D">
      <w:pPr>
        <w:rPr>
          <w:b/>
          <w:color w:val="2E74B5" w:themeColor="accent1" w:themeShade="BF"/>
          <w:sz w:val="24"/>
          <w:szCs w:val="24"/>
        </w:rPr>
      </w:pPr>
      <w:r w:rsidRPr="007B7769">
        <w:rPr>
          <w:b/>
          <w:color w:val="2E74B5" w:themeColor="accent1" w:themeShade="BF"/>
          <w:sz w:val="24"/>
          <w:szCs w:val="24"/>
        </w:rPr>
        <w:t>Information sharing DECISION MAKING PROCESS (keep on file)</w:t>
      </w:r>
    </w:p>
    <w:tbl>
      <w:tblPr>
        <w:tblW w:w="9464" w:type="dxa"/>
        <w:tblBorders>
          <w:top w:val="single" w:color="009FDF" w:sz="4" w:space="0"/>
          <w:bottom w:val="single" w:color="009FDF" w:sz="4" w:space="0"/>
        </w:tblBorders>
        <w:tblLayout w:type="fixed"/>
        <w:tblLook w:val="04A0" w:firstRow="1" w:lastRow="0" w:firstColumn="1" w:lastColumn="0" w:noHBand="0" w:noVBand="1"/>
      </w:tblPr>
      <w:tblGrid>
        <w:gridCol w:w="2376"/>
        <w:gridCol w:w="567"/>
        <w:gridCol w:w="6521"/>
      </w:tblGrid>
      <w:tr w:rsidRPr="007B7769" w:rsidR="00C74F5D" w:rsidTr="00D90A5B">
        <w:tc>
          <w:tcPr>
            <w:tcW w:w="2943" w:type="dxa"/>
            <w:gridSpan w:val="2"/>
            <w:tcBorders>
              <w:bottom w:val="single" w:color="009FDF" w:sz="4" w:space="0"/>
            </w:tcBorders>
            <w:shd w:val="clear" w:color="auto" w:fill="auto"/>
          </w:tcPr>
          <w:p w:rsidRPr="00B15E07" w:rsidR="00C74F5D" w:rsidP="00D90A5B" w:rsidRDefault="00C74F5D">
            <w:pPr>
              <w:spacing w:after="0"/>
              <w:rPr>
                <w:b/>
                <w:bCs/>
                <w:sz w:val="24"/>
                <w:szCs w:val="24"/>
              </w:rPr>
            </w:pPr>
            <w:r w:rsidRPr="00B15E07">
              <w:rPr>
                <w:b/>
                <w:bCs/>
                <w:sz w:val="24"/>
                <w:szCs w:val="24"/>
              </w:rPr>
              <w:t>What information am I sharing? (be clear &amp; concise)</w:t>
            </w:r>
          </w:p>
        </w:tc>
        <w:tc>
          <w:tcPr>
            <w:tcW w:w="6521" w:type="dxa"/>
            <w:tcBorders>
              <w:bottom w:val="single" w:color="009FDF" w:sz="4" w:space="0"/>
            </w:tcBorders>
            <w:shd w:val="clear" w:color="auto" w:fill="auto"/>
          </w:tcPr>
          <w:p w:rsidRPr="007B7769" w:rsidR="00C74F5D" w:rsidP="00D90A5B" w:rsidRDefault="00C74F5D">
            <w:pPr>
              <w:spacing w:after="0"/>
              <w:rPr>
                <w:bCs/>
                <w:sz w:val="24"/>
                <w:szCs w:val="24"/>
              </w:rPr>
            </w:pPr>
          </w:p>
        </w:tc>
      </w:tr>
      <w:tr w:rsidRPr="007B7769" w:rsidR="00C74F5D" w:rsidTr="00D90A5B">
        <w:tc>
          <w:tcPr>
            <w:tcW w:w="2943" w:type="dxa"/>
            <w:gridSpan w:val="2"/>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 xml:space="preserve">For what </w:t>
            </w:r>
            <w:r w:rsidRPr="00B15E07">
              <w:rPr>
                <w:b/>
                <w:bCs/>
                <w:sz w:val="24"/>
                <w:szCs w:val="24"/>
                <w:u w:val="single"/>
              </w:rPr>
              <w:t>purpose</w:t>
            </w:r>
            <w:r w:rsidRPr="00B15E07">
              <w:rPr>
                <w:b/>
                <w:bCs/>
                <w:sz w:val="24"/>
                <w:szCs w:val="24"/>
              </w:rPr>
              <w:t xml:space="preserve"> am I sharing this information?</w:t>
            </w:r>
          </w:p>
        </w:tc>
        <w:tc>
          <w:tcPr>
            <w:tcW w:w="6521" w:type="dxa"/>
            <w:shd w:val="clear" w:color="auto" w:fill="D5DCE4" w:themeFill="text2" w:themeFillTint="33"/>
          </w:tcPr>
          <w:p w:rsidRPr="007B7769" w:rsidR="00C74F5D" w:rsidP="00D90A5B" w:rsidRDefault="00C74F5D">
            <w:pPr>
              <w:spacing w:after="0"/>
              <w:rPr>
                <w:sz w:val="24"/>
                <w:szCs w:val="24"/>
              </w:rPr>
            </w:pPr>
          </w:p>
        </w:tc>
      </w:tr>
      <w:tr w:rsidRPr="007B7769" w:rsidR="00C74F5D" w:rsidTr="00D90A5B">
        <w:tc>
          <w:tcPr>
            <w:tcW w:w="2943" w:type="dxa"/>
            <w:gridSpan w:val="2"/>
            <w:shd w:val="clear" w:color="auto" w:fill="auto"/>
          </w:tcPr>
          <w:p w:rsidRPr="00B15E07" w:rsidR="00C74F5D" w:rsidP="00D90A5B" w:rsidRDefault="00C74F5D">
            <w:pPr>
              <w:spacing w:after="0"/>
              <w:rPr>
                <w:b/>
                <w:bCs/>
                <w:sz w:val="24"/>
                <w:szCs w:val="24"/>
              </w:rPr>
            </w:pPr>
            <w:r w:rsidRPr="00B15E07">
              <w:rPr>
                <w:b/>
                <w:bCs/>
                <w:sz w:val="24"/>
                <w:szCs w:val="24"/>
              </w:rPr>
              <w:t>With whom am I sharing this information (name agency/ies)</w:t>
            </w:r>
          </w:p>
        </w:tc>
        <w:tc>
          <w:tcPr>
            <w:tcW w:w="6521" w:type="dxa"/>
            <w:shd w:val="clear" w:color="auto" w:fill="auto"/>
          </w:tcPr>
          <w:p w:rsidRPr="007B7769" w:rsidR="00C74F5D" w:rsidP="00D90A5B" w:rsidRDefault="00C74F5D">
            <w:pPr>
              <w:spacing w:after="0"/>
              <w:rPr>
                <w:sz w:val="24"/>
                <w:szCs w:val="24"/>
              </w:rPr>
            </w:pPr>
          </w:p>
        </w:tc>
      </w:tr>
      <w:tr w:rsidRPr="007B7769" w:rsidR="00C74F5D" w:rsidTr="00D90A5B">
        <w:tc>
          <w:tcPr>
            <w:tcW w:w="2943" w:type="dxa"/>
            <w:gridSpan w:val="2"/>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Has the client met the Threshold for a referral to Marac (High Risk) Give details here</w:t>
            </w:r>
          </w:p>
        </w:tc>
        <w:tc>
          <w:tcPr>
            <w:tcW w:w="6521" w:type="dxa"/>
            <w:shd w:val="clear" w:color="auto" w:fill="D5DCE4" w:themeFill="text2" w:themeFillTint="33"/>
          </w:tcPr>
          <w:p w:rsidRPr="00B15E07" w:rsidR="00C74F5D" w:rsidP="00D90A5B" w:rsidRDefault="00C74F5D">
            <w:pPr>
              <w:spacing w:after="0"/>
              <w:rPr>
                <w:b/>
                <w:sz w:val="24"/>
                <w:szCs w:val="24"/>
              </w:rPr>
            </w:pPr>
            <w:r w:rsidRPr="00B15E07">
              <w:rPr>
                <w:b/>
                <w:sz w:val="24"/>
                <w:szCs w:val="24"/>
              </w:rPr>
              <w:t xml:space="preserve">Visible high risk (DASH RIC) </w:t>
            </w:r>
            <w:r w:rsidRPr="00B15E07">
              <w:rPr>
                <w:rFonts w:ascii="Segoe UI Symbol" w:hAnsi="Segoe UI Symbol" w:eastAsia="MS Gothic" w:cs="Segoe UI Symbol"/>
                <w:b/>
                <w:sz w:val="24"/>
                <w:szCs w:val="24"/>
              </w:rPr>
              <w:t>☐</w:t>
            </w:r>
          </w:p>
          <w:p w:rsidRPr="00B15E07" w:rsidR="00C74F5D" w:rsidP="00D90A5B" w:rsidRDefault="00C74F5D">
            <w:pPr>
              <w:spacing w:after="0"/>
              <w:rPr>
                <w:b/>
                <w:sz w:val="24"/>
                <w:szCs w:val="24"/>
              </w:rPr>
            </w:pPr>
            <w:r w:rsidRPr="00B15E07">
              <w:rPr>
                <w:b/>
                <w:sz w:val="24"/>
                <w:szCs w:val="24"/>
              </w:rPr>
              <w:t xml:space="preserve">Professional Judgment </w:t>
            </w:r>
            <w:r w:rsidRPr="00B15E07">
              <w:rPr>
                <w:rFonts w:ascii="Segoe UI Symbol" w:hAnsi="Segoe UI Symbol" w:eastAsia="MS Gothic" w:cs="Segoe UI Symbol"/>
                <w:b/>
                <w:sz w:val="24"/>
                <w:szCs w:val="24"/>
              </w:rPr>
              <w:t>☐</w:t>
            </w:r>
          </w:p>
          <w:p w:rsidRPr="007B7769" w:rsidR="00C74F5D" w:rsidP="00D90A5B" w:rsidRDefault="00C74F5D">
            <w:pPr>
              <w:spacing w:after="0"/>
              <w:rPr>
                <w:sz w:val="24"/>
                <w:szCs w:val="24"/>
              </w:rPr>
            </w:pPr>
            <w:r w:rsidRPr="00B15E07">
              <w:rPr>
                <w:b/>
                <w:sz w:val="24"/>
                <w:szCs w:val="24"/>
              </w:rPr>
              <w:t xml:space="preserve">Escalation in severity &amp;/or frequency of abuse </w:t>
            </w:r>
            <w:r w:rsidRPr="00B15E07">
              <w:rPr>
                <w:rFonts w:ascii="Segoe UI Symbol" w:hAnsi="Segoe UI Symbol" w:eastAsia="MS Gothic" w:cs="Segoe UI Symbol"/>
                <w:b/>
                <w:sz w:val="24"/>
                <w:szCs w:val="24"/>
              </w:rPr>
              <w:t>☐</w:t>
            </w:r>
          </w:p>
        </w:tc>
      </w:tr>
      <w:tr w:rsidRPr="007B7769" w:rsidR="00C74F5D" w:rsidTr="00D90A5B">
        <w:tc>
          <w:tcPr>
            <w:tcW w:w="2943" w:type="dxa"/>
            <w:gridSpan w:val="2"/>
            <w:shd w:val="clear" w:color="auto" w:fill="auto"/>
          </w:tcPr>
          <w:p w:rsidRPr="00B15E07" w:rsidR="00C74F5D" w:rsidP="00D90A5B" w:rsidRDefault="00C74F5D">
            <w:pPr>
              <w:spacing w:after="0"/>
              <w:rPr>
                <w:b/>
                <w:bCs/>
                <w:sz w:val="24"/>
                <w:szCs w:val="24"/>
              </w:rPr>
            </w:pPr>
            <w:r w:rsidRPr="00B15E07">
              <w:rPr>
                <w:b/>
                <w:bCs/>
                <w:sz w:val="24"/>
                <w:szCs w:val="24"/>
              </w:rPr>
              <w:t>Lawful Basis for Sharing Information - consider your local Marac ISP (please see links &amp; justify your choice):e.g:</w:t>
            </w:r>
          </w:p>
        </w:tc>
        <w:tc>
          <w:tcPr>
            <w:tcW w:w="6521" w:type="dxa"/>
            <w:shd w:val="clear" w:color="auto" w:fill="FFFFFF"/>
          </w:tcPr>
          <w:p w:rsidRPr="00B15E07" w:rsidR="00C74F5D" w:rsidP="00D90A5B" w:rsidRDefault="00C74F5D">
            <w:pPr>
              <w:spacing w:after="0"/>
              <w:rPr>
                <w:b/>
                <w:color w:val="009FDF"/>
                <w:sz w:val="24"/>
                <w:szCs w:val="24"/>
                <w:u w:val="single"/>
              </w:rPr>
            </w:pPr>
            <w:hyperlink w:history="1" r:id="rId6">
              <w:r w:rsidRPr="00B15E07">
                <w:rPr>
                  <w:rStyle w:val="Hyperlink"/>
                  <w:b/>
                  <w:color w:val="009FDF"/>
                  <w:sz w:val="24"/>
                  <w:szCs w:val="24"/>
                </w:rPr>
                <w:t>Vital Interest</w:t>
              </w:r>
            </w:hyperlink>
            <w:r w:rsidRPr="00B15E07">
              <w:rPr>
                <w:b/>
                <w:color w:val="009FDF"/>
                <w:sz w:val="24"/>
                <w:szCs w:val="24"/>
                <w:u w:val="single"/>
              </w:rPr>
              <w:t xml:space="preserve"> </w:t>
            </w:r>
          </w:p>
          <w:p w:rsidRPr="00B15E07" w:rsidR="00C74F5D" w:rsidP="00D90A5B" w:rsidRDefault="00C74F5D">
            <w:pPr>
              <w:spacing w:after="0"/>
              <w:rPr>
                <w:b/>
                <w:color w:val="009FDF"/>
                <w:sz w:val="24"/>
                <w:szCs w:val="24"/>
              </w:rPr>
            </w:pPr>
          </w:p>
          <w:p w:rsidR="00C74F5D" w:rsidP="00D90A5B" w:rsidRDefault="00C74F5D">
            <w:pPr>
              <w:spacing w:after="0"/>
              <w:rPr>
                <w:rStyle w:val="Hyperlink"/>
                <w:b/>
                <w:color w:val="009FDF"/>
                <w:sz w:val="24"/>
                <w:szCs w:val="24"/>
              </w:rPr>
            </w:pPr>
            <w:hyperlink w:history="1" r:id="rId7">
              <w:r w:rsidRPr="00B15E07">
                <w:rPr>
                  <w:rStyle w:val="Hyperlink"/>
                  <w:b/>
                  <w:color w:val="009FDF"/>
                  <w:sz w:val="24"/>
                  <w:szCs w:val="24"/>
                </w:rPr>
                <w:t>Legitimate Interest</w:t>
              </w:r>
            </w:hyperlink>
          </w:p>
          <w:p w:rsidRPr="007B7769" w:rsidR="00C74F5D" w:rsidP="00D90A5B" w:rsidRDefault="00C74F5D">
            <w:pPr>
              <w:spacing w:after="0"/>
              <w:rPr>
                <w:color w:val="009FDF"/>
                <w:sz w:val="24"/>
                <w:szCs w:val="24"/>
                <w:u w:val="single"/>
              </w:rPr>
            </w:pPr>
          </w:p>
        </w:tc>
      </w:tr>
      <w:tr w:rsidRPr="007B7769" w:rsidR="00C74F5D" w:rsidTr="00D90A5B">
        <w:tc>
          <w:tcPr>
            <w:tcW w:w="2943" w:type="dxa"/>
            <w:gridSpan w:val="2"/>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I am sharing information based on the legal authority of (tick one or more):</w:t>
            </w:r>
          </w:p>
        </w:tc>
        <w:tc>
          <w:tcPr>
            <w:tcW w:w="6521" w:type="dxa"/>
            <w:tcBorders>
              <w:bottom w:val="single" w:color="E6F5FC" w:sz="4" w:space="0"/>
            </w:tcBorders>
            <w:shd w:val="clear" w:color="auto" w:fill="D5DCE4" w:themeFill="text2" w:themeFillTint="33"/>
          </w:tcPr>
          <w:p w:rsidRPr="007B7769" w:rsidR="00C74F5D" w:rsidP="00D90A5B" w:rsidRDefault="00C74F5D">
            <w:pPr>
              <w:spacing w:after="0"/>
              <w:rPr>
                <w:sz w:val="24"/>
                <w:szCs w:val="24"/>
              </w:rPr>
            </w:pPr>
          </w:p>
        </w:tc>
      </w:tr>
      <w:tr w:rsidRPr="007B7769" w:rsidR="00C74F5D" w:rsidTr="00D90A5B">
        <w:trPr>
          <w:trHeight w:val="413"/>
        </w:trPr>
        <w:tc>
          <w:tcPr>
            <w:tcW w:w="2376" w:type="dxa"/>
            <w:shd w:val="clear" w:color="auto" w:fill="auto"/>
          </w:tcPr>
          <w:p w:rsidRPr="00B15E07" w:rsidR="00C74F5D" w:rsidP="00D90A5B" w:rsidRDefault="00C74F5D">
            <w:pPr>
              <w:spacing w:after="0"/>
              <w:rPr>
                <w:b/>
                <w:bCs/>
                <w:sz w:val="24"/>
                <w:szCs w:val="24"/>
              </w:rPr>
            </w:pPr>
            <w:r w:rsidRPr="00B15E07">
              <w:rPr>
                <w:b/>
                <w:bCs/>
                <w:sz w:val="24"/>
                <w:szCs w:val="24"/>
              </w:rPr>
              <w:t>Child Protection Act 2004</w:t>
            </w:r>
          </w:p>
        </w:tc>
        <w:tc>
          <w:tcPr>
            <w:tcW w:w="567" w:type="dxa"/>
            <w:shd w:val="clear" w:color="auto" w:fill="auto"/>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val="restart"/>
            <w:tcBorders>
              <w:top w:val="single" w:color="E6F5FC" w:sz="4" w:space="0"/>
              <w:right w:val="single" w:color="E6F5FC" w:sz="4" w:space="0"/>
            </w:tcBorders>
            <w:shd w:val="clear" w:color="auto" w:fill="auto"/>
          </w:tcPr>
          <w:p w:rsidRPr="007B7769" w:rsidR="00C74F5D" w:rsidP="00D90A5B" w:rsidRDefault="00C74F5D">
            <w:pPr>
              <w:tabs>
                <w:tab w:val="left" w:pos="5220"/>
              </w:tabs>
              <w:spacing w:after="0"/>
              <w:rPr>
                <w:sz w:val="24"/>
                <w:szCs w:val="24"/>
              </w:rPr>
            </w:pPr>
          </w:p>
        </w:tc>
      </w:tr>
      <w:tr w:rsidRPr="007B7769" w:rsidR="00C74F5D" w:rsidTr="00D90A5B">
        <w:trPr>
          <w:trHeight w:val="413"/>
        </w:trPr>
        <w:tc>
          <w:tcPr>
            <w:tcW w:w="2376" w:type="dxa"/>
            <w:shd w:val="clear" w:color="auto" w:fill="D5DCE4" w:themeFill="text2" w:themeFillTint="33"/>
          </w:tcPr>
          <w:p w:rsidRPr="00B15E07" w:rsidR="00C74F5D" w:rsidP="00D90A5B" w:rsidRDefault="00C74F5D">
            <w:pPr>
              <w:spacing w:after="0"/>
              <w:rPr>
                <w:b/>
                <w:bCs/>
                <w:color w:val="0076A7"/>
                <w:sz w:val="24"/>
                <w:szCs w:val="24"/>
              </w:rPr>
            </w:pPr>
            <w:r w:rsidRPr="00B15E07">
              <w:rPr>
                <w:b/>
                <w:bCs/>
                <w:sz w:val="24"/>
                <w:szCs w:val="24"/>
              </w:rPr>
              <w:t>s.115 Crime &amp; Disorder Act 1998</w:t>
            </w:r>
          </w:p>
        </w:tc>
        <w:tc>
          <w:tcPr>
            <w:tcW w:w="567" w:type="dxa"/>
            <w:shd w:val="clear" w:color="auto" w:fill="D5DCE4" w:themeFill="text2" w:themeFillTint="33"/>
          </w:tcPr>
          <w:p w:rsidRPr="00B15E07" w:rsidR="00C74F5D" w:rsidP="00D90A5B" w:rsidRDefault="00C74F5D">
            <w:pPr>
              <w:spacing w:after="0"/>
              <w:rPr>
                <w:b/>
                <w:color w:val="0076A7"/>
                <w:sz w:val="24"/>
                <w:szCs w:val="24"/>
              </w:rPr>
            </w:pPr>
            <w:r w:rsidRPr="00B15E07">
              <w:rPr>
                <w:rFonts w:ascii="Segoe UI Symbol" w:hAnsi="Segoe UI Symbol" w:eastAsia="MS Gothic" w:cs="Segoe UI Symbol"/>
                <w:b/>
                <w:color w:val="0076A7"/>
                <w:sz w:val="24"/>
                <w:szCs w:val="24"/>
              </w:rPr>
              <w:t>☐</w:t>
            </w:r>
          </w:p>
        </w:tc>
        <w:tc>
          <w:tcPr>
            <w:tcW w:w="6521" w:type="dxa"/>
            <w:vMerge/>
            <w:tcBorders>
              <w:top w:val="single" w:color="E6F5FC" w:sz="4" w:space="0"/>
              <w:right w:val="single" w:color="E6F5FC" w:sz="4" w:space="0"/>
            </w:tcBorders>
            <w:shd w:val="clear" w:color="auto" w:fill="C5EEFF"/>
          </w:tcPr>
          <w:p w:rsidRPr="007B7769" w:rsidR="00C74F5D" w:rsidP="00D90A5B" w:rsidRDefault="00C74F5D">
            <w:pPr>
              <w:tabs>
                <w:tab w:val="left" w:pos="5220"/>
              </w:tabs>
              <w:spacing w:after="0"/>
              <w:rPr>
                <w:color w:val="0076A7"/>
                <w:sz w:val="24"/>
                <w:szCs w:val="24"/>
              </w:rPr>
            </w:pPr>
          </w:p>
        </w:tc>
      </w:tr>
      <w:tr w:rsidRPr="007B7769" w:rsidR="00C74F5D" w:rsidTr="00D90A5B">
        <w:trPr>
          <w:trHeight w:val="413"/>
        </w:trPr>
        <w:tc>
          <w:tcPr>
            <w:tcW w:w="2376" w:type="dxa"/>
            <w:shd w:val="clear" w:color="auto" w:fill="auto"/>
          </w:tcPr>
          <w:p w:rsidRPr="00B15E07" w:rsidR="00C74F5D" w:rsidP="00D90A5B" w:rsidRDefault="00C74F5D">
            <w:pPr>
              <w:spacing w:after="0"/>
              <w:rPr>
                <w:b/>
                <w:bCs/>
                <w:sz w:val="24"/>
                <w:szCs w:val="24"/>
              </w:rPr>
            </w:pPr>
            <w:r w:rsidRPr="00B15E07">
              <w:rPr>
                <w:b/>
                <w:bCs/>
                <w:sz w:val="24"/>
                <w:szCs w:val="24"/>
              </w:rPr>
              <w:t>Pt 3. Schedule 8 Data Protection Act 2018</w:t>
            </w:r>
          </w:p>
        </w:tc>
        <w:tc>
          <w:tcPr>
            <w:tcW w:w="567" w:type="dxa"/>
            <w:shd w:val="clear" w:color="auto" w:fill="auto"/>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tcBorders>
              <w:right w:val="single" w:color="E6F5FC" w:sz="4" w:space="0"/>
            </w:tcBorders>
            <w:shd w:val="clear" w:color="auto" w:fill="auto"/>
          </w:tcPr>
          <w:p w:rsidRPr="007B7769" w:rsidR="00C74F5D" w:rsidP="00D90A5B" w:rsidRDefault="00C74F5D">
            <w:pPr>
              <w:spacing w:after="0"/>
              <w:rPr>
                <w:sz w:val="24"/>
                <w:szCs w:val="24"/>
              </w:rPr>
            </w:pPr>
          </w:p>
        </w:tc>
      </w:tr>
      <w:tr w:rsidRPr="007B7769" w:rsidR="00C74F5D" w:rsidTr="00D90A5B">
        <w:trPr>
          <w:trHeight w:val="413"/>
        </w:trPr>
        <w:tc>
          <w:tcPr>
            <w:tcW w:w="2376" w:type="dxa"/>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Human Rights Act 2004</w:t>
            </w:r>
          </w:p>
        </w:tc>
        <w:tc>
          <w:tcPr>
            <w:tcW w:w="567" w:type="dxa"/>
            <w:shd w:val="clear" w:color="auto" w:fill="D5DCE4" w:themeFill="text2" w:themeFillTint="33"/>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tcBorders>
              <w:right w:val="single" w:color="E6F5FC" w:sz="4" w:space="0"/>
            </w:tcBorders>
            <w:shd w:val="clear" w:color="auto" w:fill="C5EEFF"/>
          </w:tcPr>
          <w:p w:rsidRPr="007B7769" w:rsidR="00C74F5D" w:rsidP="00D90A5B" w:rsidRDefault="00C74F5D">
            <w:pPr>
              <w:spacing w:after="0"/>
              <w:rPr>
                <w:sz w:val="24"/>
                <w:szCs w:val="24"/>
              </w:rPr>
            </w:pPr>
          </w:p>
        </w:tc>
      </w:tr>
      <w:tr w:rsidRPr="007B7769" w:rsidR="00C74F5D" w:rsidTr="00D90A5B">
        <w:trPr>
          <w:trHeight w:val="413"/>
        </w:trPr>
        <w:tc>
          <w:tcPr>
            <w:tcW w:w="2376" w:type="dxa"/>
            <w:shd w:val="clear" w:color="auto" w:fill="auto"/>
          </w:tcPr>
          <w:p w:rsidRPr="00B15E07" w:rsidR="00C74F5D" w:rsidP="00D90A5B" w:rsidRDefault="00C74F5D">
            <w:pPr>
              <w:spacing w:after="0"/>
              <w:rPr>
                <w:b/>
                <w:bCs/>
                <w:sz w:val="24"/>
                <w:szCs w:val="24"/>
              </w:rPr>
            </w:pPr>
            <w:r w:rsidRPr="00B15E07">
              <w:rPr>
                <w:b/>
                <w:bCs/>
                <w:sz w:val="24"/>
                <w:szCs w:val="24"/>
              </w:rPr>
              <w:t>Common Law</w:t>
            </w:r>
          </w:p>
        </w:tc>
        <w:tc>
          <w:tcPr>
            <w:tcW w:w="567" w:type="dxa"/>
            <w:shd w:val="clear" w:color="auto" w:fill="auto"/>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tcBorders>
              <w:right w:val="single" w:color="E6F5FC" w:sz="4" w:space="0"/>
            </w:tcBorders>
            <w:shd w:val="clear" w:color="auto" w:fill="auto"/>
          </w:tcPr>
          <w:p w:rsidRPr="00B15E07" w:rsidR="00C74F5D" w:rsidP="00D90A5B" w:rsidRDefault="00C74F5D">
            <w:pPr>
              <w:spacing w:after="0"/>
              <w:rPr>
                <w:b/>
                <w:sz w:val="24"/>
                <w:szCs w:val="24"/>
              </w:rPr>
            </w:pPr>
          </w:p>
        </w:tc>
      </w:tr>
      <w:tr w:rsidRPr="007B7769" w:rsidR="00C74F5D" w:rsidTr="00D90A5B">
        <w:trPr>
          <w:trHeight w:val="80"/>
        </w:trPr>
        <w:tc>
          <w:tcPr>
            <w:tcW w:w="2376" w:type="dxa"/>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The Care Act 2014</w:t>
            </w:r>
          </w:p>
        </w:tc>
        <w:tc>
          <w:tcPr>
            <w:tcW w:w="567" w:type="dxa"/>
            <w:shd w:val="clear" w:color="auto" w:fill="D5DCE4" w:themeFill="text2" w:themeFillTint="33"/>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tcBorders>
              <w:bottom w:val="single" w:color="FFFFFF" w:sz="4" w:space="0"/>
              <w:right w:val="single" w:color="E6F5FC" w:sz="4" w:space="0"/>
            </w:tcBorders>
            <w:shd w:val="clear" w:color="auto" w:fill="C5EEFF"/>
          </w:tcPr>
          <w:p w:rsidRPr="00B15E07" w:rsidR="00C74F5D" w:rsidP="00D90A5B" w:rsidRDefault="00C74F5D">
            <w:pPr>
              <w:spacing w:after="0"/>
              <w:rPr>
                <w:b/>
                <w:sz w:val="24"/>
                <w:szCs w:val="24"/>
              </w:rPr>
            </w:pPr>
          </w:p>
        </w:tc>
      </w:tr>
      <w:tr w:rsidRPr="007B7769" w:rsidR="00C74F5D" w:rsidTr="00D90A5B">
        <w:trPr>
          <w:trHeight w:val="413"/>
        </w:trPr>
        <w:tc>
          <w:tcPr>
            <w:tcW w:w="9464" w:type="dxa"/>
            <w:gridSpan w:val="3"/>
            <w:shd w:val="clear" w:color="auto" w:fill="auto"/>
          </w:tcPr>
          <w:p w:rsidRPr="00B15E07" w:rsidR="00C74F5D" w:rsidP="00D90A5B" w:rsidRDefault="00C74F5D">
            <w:pPr>
              <w:spacing w:after="0"/>
              <w:rPr>
                <w:b/>
                <w:bCs/>
                <w:sz w:val="24"/>
                <w:szCs w:val="24"/>
              </w:rPr>
            </w:pPr>
            <w:r w:rsidRPr="00B15E07">
              <w:rPr>
                <w:b/>
                <w:bCs/>
                <w:sz w:val="24"/>
                <w:szCs w:val="24"/>
              </w:rPr>
              <w:t>I have balanced the following considerations:</w:t>
            </w:r>
          </w:p>
        </w:tc>
      </w:tr>
      <w:tr w:rsidRPr="007B7769" w:rsidR="00C74F5D" w:rsidTr="00D90A5B">
        <w:trPr>
          <w:trHeight w:val="643"/>
        </w:trPr>
        <w:tc>
          <w:tcPr>
            <w:tcW w:w="9464" w:type="dxa"/>
            <w:gridSpan w:val="3"/>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lastRenderedPageBreak/>
              <w:t xml:space="preserve">Information is relevant? </w:t>
            </w:r>
          </w:p>
          <w:p w:rsidRPr="00B15E07" w:rsidR="00C74F5D" w:rsidP="00D90A5B" w:rsidRDefault="00C74F5D">
            <w:pPr>
              <w:spacing w:after="0"/>
              <w:rPr>
                <w:b/>
                <w:bCs/>
                <w:sz w:val="24"/>
                <w:szCs w:val="24"/>
              </w:rPr>
            </w:pPr>
            <w:r w:rsidRPr="00B15E07">
              <w:rPr>
                <w:b/>
                <w:bCs/>
                <w:sz w:val="24"/>
                <w:szCs w:val="24"/>
              </w:rPr>
              <w:t xml:space="preserve">Information is adequate &amp; necessary to achieve the purpose </w:t>
            </w:r>
          </w:p>
          <w:p w:rsidRPr="00B15E07" w:rsidR="00C74F5D" w:rsidP="00D90A5B" w:rsidRDefault="00C74F5D">
            <w:pPr>
              <w:spacing w:after="0"/>
              <w:rPr>
                <w:b/>
                <w:bCs/>
                <w:sz w:val="24"/>
                <w:szCs w:val="24"/>
              </w:rPr>
            </w:pPr>
            <w:r w:rsidRPr="00B15E07">
              <w:rPr>
                <w:b/>
                <w:bCs/>
                <w:sz w:val="24"/>
                <w:szCs w:val="24"/>
              </w:rPr>
              <w:t xml:space="preserve">Information is proportionate </w:t>
            </w:r>
          </w:p>
          <w:p w:rsidRPr="00B15E07" w:rsidR="00C74F5D" w:rsidP="00D90A5B" w:rsidRDefault="00C74F5D">
            <w:pPr>
              <w:spacing w:after="0"/>
              <w:rPr>
                <w:b/>
                <w:bCs/>
                <w:sz w:val="24"/>
                <w:szCs w:val="24"/>
              </w:rPr>
            </w:pPr>
            <w:r w:rsidRPr="00B15E07">
              <w:rPr>
                <w:b/>
                <w:bCs/>
                <w:sz w:val="24"/>
                <w:szCs w:val="24"/>
              </w:rPr>
              <w:t xml:space="preserve">Sharing this information will NOT significantly increase risk to the client/family </w:t>
            </w:r>
          </w:p>
        </w:tc>
      </w:tr>
      <w:tr w:rsidRPr="007B7769" w:rsidR="00C74F5D" w:rsidTr="00D90A5B">
        <w:trPr>
          <w:trHeight w:val="413"/>
        </w:trPr>
        <w:tc>
          <w:tcPr>
            <w:tcW w:w="9464" w:type="dxa"/>
            <w:gridSpan w:val="3"/>
            <w:shd w:val="clear" w:color="auto" w:fill="auto"/>
          </w:tcPr>
          <w:p w:rsidR="00C74F5D" w:rsidP="00D90A5B" w:rsidRDefault="00C74F5D">
            <w:pPr>
              <w:spacing w:after="0"/>
              <w:rPr>
                <w:bCs/>
                <w:sz w:val="24"/>
                <w:szCs w:val="24"/>
              </w:rPr>
            </w:pPr>
          </w:p>
          <w:p w:rsidR="00C74F5D" w:rsidP="00D90A5B" w:rsidRDefault="00C74F5D">
            <w:pPr>
              <w:spacing w:after="0"/>
              <w:rPr>
                <w:bCs/>
                <w:sz w:val="24"/>
                <w:szCs w:val="24"/>
              </w:rPr>
            </w:pPr>
          </w:p>
          <w:p w:rsidRPr="00B15E07" w:rsidR="00C74F5D" w:rsidP="00D90A5B" w:rsidRDefault="00C74F5D">
            <w:pPr>
              <w:spacing w:after="0"/>
              <w:rPr>
                <w:b/>
                <w:bCs/>
                <w:sz w:val="24"/>
                <w:szCs w:val="24"/>
              </w:rPr>
            </w:pPr>
            <w:r w:rsidRPr="00B15E07">
              <w:rPr>
                <w:b/>
                <w:bCs/>
                <w:sz w:val="24"/>
                <w:szCs w:val="24"/>
              </w:rPr>
              <w:t>I have discussed this internally with: (provide details below of line manager/senior practitioner)</w:t>
            </w:r>
          </w:p>
        </w:tc>
      </w:tr>
      <w:tr w:rsidRPr="007B7769" w:rsidR="00C74F5D" w:rsidTr="00D90A5B">
        <w:trPr>
          <w:trHeight w:val="643"/>
        </w:trPr>
        <w:tc>
          <w:tcPr>
            <w:tcW w:w="9464" w:type="dxa"/>
            <w:gridSpan w:val="3"/>
            <w:shd w:val="clear" w:color="auto" w:fill="D5DCE4" w:themeFill="text2" w:themeFillTint="33"/>
          </w:tcPr>
          <w:p w:rsidRPr="007B7769" w:rsidR="00C74F5D" w:rsidP="00D90A5B" w:rsidRDefault="00C74F5D">
            <w:pPr>
              <w:spacing w:after="0"/>
              <w:rPr>
                <w:bCs/>
                <w:sz w:val="24"/>
                <w:szCs w:val="24"/>
              </w:rPr>
            </w:pPr>
          </w:p>
        </w:tc>
      </w:tr>
      <w:tr w:rsidRPr="007B7769" w:rsidR="00C74F5D" w:rsidTr="00D90A5B">
        <w:trPr>
          <w:trHeight w:val="643"/>
        </w:trPr>
        <w:tc>
          <w:tcPr>
            <w:tcW w:w="9464" w:type="dxa"/>
            <w:gridSpan w:val="3"/>
            <w:shd w:val="clear" w:color="auto" w:fill="auto"/>
          </w:tcPr>
          <w:p w:rsidRPr="00B15E07" w:rsidR="00C74F5D" w:rsidP="00D90A5B" w:rsidRDefault="00C74F5D">
            <w:pPr>
              <w:spacing w:after="0"/>
              <w:rPr>
                <w:b/>
                <w:bCs/>
                <w:sz w:val="24"/>
                <w:szCs w:val="24"/>
              </w:rPr>
            </w:pPr>
            <w:r w:rsidRPr="00B15E07">
              <w:rPr>
                <w:b/>
                <w:bCs/>
                <w:sz w:val="24"/>
                <w:szCs w:val="24"/>
              </w:rPr>
              <w:t xml:space="preserve">Has the client been notified of or involved in the decision to share information?  </w:t>
            </w:r>
          </w:p>
          <w:p w:rsidRPr="00B15E07" w:rsidR="00C74F5D" w:rsidP="00D90A5B" w:rsidRDefault="00C74F5D">
            <w:pPr>
              <w:spacing w:after="0"/>
              <w:rPr>
                <w:b/>
                <w:bCs/>
                <w:sz w:val="24"/>
                <w:szCs w:val="24"/>
              </w:rPr>
            </w:pPr>
            <w:r w:rsidRPr="00B15E07">
              <w:rPr>
                <w:b/>
                <w:bCs/>
                <w:sz w:val="24"/>
                <w:szCs w:val="24"/>
              </w:rPr>
              <w:t xml:space="preserve">Yes </w:t>
            </w:r>
            <w:r w:rsidRPr="00B15E07">
              <w:rPr>
                <w:rFonts w:ascii="Segoe UI Symbol" w:hAnsi="Segoe UI Symbol" w:cs="Segoe UI Symbol"/>
                <w:b/>
                <w:bCs/>
                <w:sz w:val="24"/>
                <w:szCs w:val="24"/>
              </w:rPr>
              <w:t>☐</w:t>
            </w:r>
            <w:r w:rsidRPr="00B15E07">
              <w:rPr>
                <w:b/>
                <w:bCs/>
                <w:sz w:val="24"/>
                <w:szCs w:val="24"/>
              </w:rPr>
              <w:tab/>
              <w:t xml:space="preserve">               Date: </w:t>
            </w:r>
          </w:p>
          <w:p w:rsidRPr="007B7769" w:rsidR="00C74F5D" w:rsidP="00D90A5B" w:rsidRDefault="00C74F5D">
            <w:pPr>
              <w:spacing w:after="0"/>
              <w:rPr>
                <w:bCs/>
                <w:sz w:val="24"/>
                <w:szCs w:val="24"/>
              </w:rPr>
            </w:pPr>
            <w:r w:rsidRPr="00B15E07">
              <w:rPr>
                <w:b/>
                <w:bCs/>
                <w:sz w:val="24"/>
                <w:szCs w:val="24"/>
              </w:rPr>
              <w:t xml:space="preserve">No </w:t>
            </w:r>
            <w:r w:rsidRPr="00B15E07">
              <w:rPr>
                <w:rFonts w:ascii="Segoe UI Symbol" w:hAnsi="Segoe UI Symbol" w:cs="Segoe UI Symbol"/>
                <w:b/>
                <w:bCs/>
                <w:sz w:val="24"/>
                <w:szCs w:val="24"/>
              </w:rPr>
              <w:t>☐</w:t>
            </w:r>
            <w:r>
              <w:rPr>
                <w:b/>
                <w:bCs/>
                <w:sz w:val="24"/>
                <w:szCs w:val="24"/>
              </w:rPr>
              <w:t xml:space="preserve">  </w:t>
            </w:r>
            <w:r w:rsidRPr="00B15E07">
              <w:rPr>
                <w:b/>
                <w:bCs/>
                <w:sz w:val="24"/>
                <w:szCs w:val="24"/>
              </w:rPr>
              <w:t xml:space="preserve">            Reasons for not informing client</w:t>
            </w:r>
            <w:r w:rsidRPr="007B7769">
              <w:rPr>
                <w:bCs/>
                <w:sz w:val="24"/>
                <w:szCs w:val="24"/>
              </w:rPr>
              <w:t xml:space="preserve">:      </w:t>
            </w:r>
          </w:p>
          <w:p w:rsidRPr="007B7769" w:rsidR="00C74F5D" w:rsidP="00D90A5B" w:rsidRDefault="00C74F5D">
            <w:pPr>
              <w:spacing w:after="0"/>
              <w:rPr>
                <w:bCs/>
                <w:sz w:val="24"/>
                <w:szCs w:val="24"/>
              </w:rPr>
            </w:pPr>
          </w:p>
        </w:tc>
      </w:tr>
      <w:tr w:rsidRPr="007B7769" w:rsidR="00C74F5D" w:rsidTr="00D90A5B">
        <w:trPr>
          <w:trHeight w:val="413"/>
        </w:trPr>
        <w:tc>
          <w:tcPr>
            <w:tcW w:w="9464" w:type="dxa"/>
            <w:gridSpan w:val="3"/>
            <w:shd w:val="clear" w:color="auto" w:fill="D5DCE4" w:themeFill="text2" w:themeFillTint="33"/>
          </w:tcPr>
          <w:p w:rsidRPr="007B7769" w:rsidR="00C74F5D" w:rsidP="00D90A5B" w:rsidRDefault="00C74F5D">
            <w:pPr>
              <w:spacing w:after="0"/>
              <w:rPr>
                <w:bCs/>
                <w:sz w:val="24"/>
                <w:szCs w:val="24"/>
              </w:rPr>
            </w:pPr>
            <w:r w:rsidRPr="00B15E07">
              <w:rPr>
                <w:b/>
                <w:bCs/>
                <w:sz w:val="24"/>
                <w:szCs w:val="24"/>
              </w:rPr>
              <w:t>Case Worker/Person Completing</w:t>
            </w:r>
            <w:r w:rsidRPr="007B7769">
              <w:rPr>
                <w:bCs/>
                <w:sz w:val="24"/>
                <w:szCs w:val="24"/>
              </w:rPr>
              <w:t xml:space="preserve">:                   Date: </w:t>
            </w:r>
          </w:p>
        </w:tc>
      </w:tr>
    </w:tbl>
    <w:p w:rsidR="00C74F5D" w:rsidP="00C74F5D" w:rsidRDefault="00C74F5D">
      <w:pPr>
        <w:rPr>
          <w:sz w:val="24"/>
          <w:szCs w:val="24"/>
        </w:rPr>
      </w:pPr>
    </w:p>
    <w:p w:rsidRPr="00B15E07" w:rsidR="00C74F5D" w:rsidP="00C74F5D" w:rsidRDefault="00C74F5D">
      <w:pPr>
        <w:spacing w:after="0"/>
        <w:jc w:val="center"/>
        <w:rPr>
          <w:b/>
          <w:color w:val="2E74B5" w:themeColor="accent1" w:themeShade="BF"/>
          <w:sz w:val="32"/>
          <w:szCs w:val="28"/>
        </w:rPr>
      </w:pPr>
      <w:r w:rsidRPr="00B15E07">
        <w:rPr>
          <w:b/>
          <w:color w:val="2E74B5" w:themeColor="accent1" w:themeShade="BF"/>
          <w:sz w:val="32"/>
          <w:szCs w:val="28"/>
        </w:rPr>
        <w:t>Guidance for Sharing Information without consent</w:t>
      </w:r>
    </w:p>
    <w:p w:rsidRPr="00B15E07" w:rsidR="00C74F5D" w:rsidP="00C74F5D" w:rsidRDefault="00C74F5D">
      <w:pPr>
        <w:spacing w:after="0"/>
        <w:rPr>
          <w:rFonts w:cs="Arial"/>
          <w:shd w:val="clear" w:color="auto" w:fill="FFFFFF"/>
        </w:rPr>
      </w:pPr>
      <w:r>
        <w:rPr>
          <w:rFonts w:cs="Arial"/>
        </w:rPr>
        <w:t>S</w:t>
      </w:r>
      <w:r w:rsidRPr="00B15E07">
        <w:rPr>
          <w:rFonts w:cs="Arial"/>
        </w:rPr>
        <w:t xml:space="preserve">haring personal information is essential to safeguard the individual. </w:t>
      </w:r>
      <w:hyperlink w:history="1" r:id="rId8">
        <w:r w:rsidRPr="00B15E07">
          <w:rPr>
            <w:rStyle w:val="Hyperlink"/>
            <w:rFonts w:cs="Arial"/>
            <w:shd w:val="clear" w:color="auto" w:fill="FFFFFF"/>
          </w:rPr>
          <w:t>Article 5 of the GDPR</w:t>
        </w:r>
      </w:hyperlink>
      <w:r w:rsidRPr="00B15E07">
        <w:rPr>
          <w:rFonts w:cs="Arial"/>
          <w:shd w:val="clear" w:color="auto" w:fill="FFFFFF"/>
        </w:rPr>
        <w:t xml:space="preserve"> sets out seven key principles which lie at the heart of the general data protection regime.</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Lawfulness, fairness and transparency</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Purpose limitation</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Data minimisation</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Accuracy</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Storage limitation</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Integrity and confidentiality (security)</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Accountability</w:t>
      </w:r>
    </w:p>
    <w:p w:rsidRPr="00B15E07" w:rsidR="00C74F5D" w:rsidP="00C74F5D" w:rsidRDefault="00C74F5D">
      <w:pPr>
        <w:shd w:val="clear" w:color="auto" w:fill="FFFFFF"/>
        <w:spacing w:before="120" w:after="0" w:line="240" w:lineRule="auto"/>
        <w:rPr>
          <w:rFonts w:cs="Arial"/>
          <w:b/>
          <w:color w:val="2E74B5" w:themeColor="accent1" w:themeShade="BF"/>
          <w:sz w:val="24"/>
        </w:rPr>
      </w:pPr>
      <w:r w:rsidRPr="00B15E07">
        <w:rPr>
          <w:rFonts w:cs="Arial"/>
          <w:b/>
          <w:color w:val="2E74B5" w:themeColor="accent1" w:themeShade="BF"/>
          <w:sz w:val="24"/>
        </w:rPr>
        <w:t>These principles should lie at the heart of your approach to information sharing (processing personal data).</w:t>
      </w:r>
    </w:p>
    <w:p w:rsidRPr="00B15E07" w:rsidR="00C74F5D" w:rsidP="00C74F5D" w:rsidRDefault="00C74F5D">
      <w:pPr>
        <w:shd w:val="clear" w:color="auto" w:fill="FFFFFF"/>
        <w:spacing w:after="0" w:line="240" w:lineRule="auto"/>
        <w:rPr>
          <w:rFonts w:cs="Arial"/>
          <w:color w:val="000000"/>
        </w:rPr>
      </w:pPr>
      <w:r w:rsidRPr="00B15E07">
        <w:rPr>
          <w:rFonts w:cs="Arial"/>
          <w:color w:val="000000"/>
        </w:rPr>
        <w:t>The GDPR specifies what individuals have a right to be informed about when you collect and use their personal data, who you share it with and how long you keep it for. Providing this information is a key element of the principle of transparency and can also help you to build trust with clients.</w:t>
      </w:r>
    </w:p>
    <w:p w:rsidRPr="00B15E07" w:rsidR="00C74F5D" w:rsidP="00C74F5D" w:rsidRDefault="00C74F5D">
      <w:pPr>
        <w:pStyle w:val="Default"/>
        <w:rPr>
          <w:rFonts w:cs="Arial" w:asciiTheme="minorHAnsi" w:hAnsiTheme="minorHAnsi"/>
          <w:color w:val="auto"/>
          <w:sz w:val="22"/>
          <w:szCs w:val="22"/>
        </w:rPr>
      </w:pPr>
      <w:r w:rsidRPr="00B15E07">
        <w:rPr>
          <w:rFonts w:cs="Arial" w:asciiTheme="minorHAnsi" w:hAnsiTheme="minorHAnsi"/>
          <w:color w:val="auto"/>
          <w:sz w:val="22"/>
          <w:szCs w:val="22"/>
        </w:rPr>
        <w:t xml:space="preserve">This form has been designed to encourage the safe, lawful and secure sharing of personal information with relevant agencies by providing a clear framework to assist &amp; record the decision making process. </w:t>
      </w:r>
    </w:p>
    <w:p w:rsidRPr="00B15E07" w:rsidR="00C74F5D" w:rsidP="00C74F5D" w:rsidRDefault="00C74F5D">
      <w:pPr>
        <w:pStyle w:val="Default"/>
        <w:rPr>
          <w:rFonts w:cs="Arial" w:asciiTheme="minorHAnsi" w:hAnsiTheme="minorHAnsi"/>
          <w:color w:val="auto"/>
          <w:sz w:val="22"/>
          <w:szCs w:val="22"/>
        </w:rPr>
      </w:pPr>
    </w:p>
    <w:p w:rsidRPr="00B15E07" w:rsidR="00C74F5D" w:rsidP="00C74F5D" w:rsidRDefault="00C74F5D">
      <w:pPr>
        <w:pStyle w:val="NoSpacing"/>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You must ensure the information you share is:</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b/>
          <w:color w:val="2E74B5" w:themeColor="accent1" w:themeShade="BF"/>
          <w:sz w:val="22"/>
          <w:szCs w:val="22"/>
        </w:rPr>
        <w:t>adequate</w:t>
      </w:r>
      <w:r w:rsidRPr="00B15E07">
        <w:rPr>
          <w:rFonts w:asciiTheme="minorHAnsi" w:hAnsiTheme="minorHAnsi"/>
          <w:color w:val="2E74B5" w:themeColor="accent1" w:themeShade="BF"/>
          <w:sz w:val="22"/>
          <w:szCs w:val="22"/>
        </w:rPr>
        <w:t xml:space="preserve"> – sufficient to properly fulfil your stated purpose;</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b/>
          <w:color w:val="2E74B5" w:themeColor="accent1" w:themeShade="BF"/>
          <w:sz w:val="22"/>
          <w:szCs w:val="22"/>
        </w:rPr>
        <w:t xml:space="preserve">relevant </w:t>
      </w:r>
      <w:r w:rsidRPr="00B15E07">
        <w:rPr>
          <w:rFonts w:asciiTheme="minorHAnsi" w:hAnsiTheme="minorHAnsi"/>
          <w:color w:val="2E74B5" w:themeColor="accent1" w:themeShade="BF"/>
          <w:sz w:val="22"/>
          <w:szCs w:val="22"/>
        </w:rPr>
        <w:t>– has a rational link to that purpose; and</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b/>
          <w:color w:val="2E74B5" w:themeColor="accent1" w:themeShade="BF"/>
          <w:sz w:val="22"/>
          <w:szCs w:val="22"/>
        </w:rPr>
        <w:t>limited to what is necessary</w:t>
      </w:r>
      <w:r w:rsidRPr="00B15E07">
        <w:rPr>
          <w:rFonts w:asciiTheme="minorHAnsi" w:hAnsiTheme="minorHAnsi"/>
          <w:color w:val="2E74B5" w:themeColor="accent1" w:themeShade="BF"/>
          <w:sz w:val="22"/>
          <w:szCs w:val="22"/>
        </w:rPr>
        <w:t xml:space="preserve"> – you do not share (or hold) more than you need for that purpose.</w:t>
      </w:r>
    </w:p>
    <w:p w:rsidRPr="00B15E07" w:rsidR="00C74F5D" w:rsidP="00C74F5D" w:rsidRDefault="00C74F5D">
      <w:pPr>
        <w:shd w:val="clear" w:color="auto" w:fill="FFFFFF"/>
        <w:spacing w:before="100" w:beforeAutospacing="1" w:after="0" w:line="240" w:lineRule="auto"/>
        <w:rPr>
          <w:rFonts w:cs="Arial"/>
          <w:color w:val="000000"/>
        </w:rPr>
      </w:pPr>
      <w:r w:rsidRPr="00B15E07">
        <w:rPr>
          <w:rFonts w:cs="Arial"/>
          <w:b/>
          <w:color w:val="2E74B5" w:themeColor="accent1" w:themeShade="BF"/>
          <w:sz w:val="28"/>
          <w:szCs w:val="24"/>
        </w:rPr>
        <w:lastRenderedPageBreak/>
        <w:t>Purpose</w:t>
      </w:r>
      <w:r w:rsidRPr="00B15E07">
        <w:rPr>
          <w:rFonts w:cs="Arial"/>
          <w:b/>
          <w:color w:val="2E74B5" w:themeColor="accent1" w:themeShade="BF"/>
          <w:sz w:val="24"/>
          <w:szCs w:val="24"/>
        </w:rPr>
        <w:t>:</w:t>
      </w:r>
      <w:r>
        <w:rPr>
          <w:rFonts w:cs="Arial"/>
          <w:b/>
          <w:color w:val="2E74B5" w:themeColor="accent1" w:themeShade="BF"/>
          <w:sz w:val="24"/>
          <w:szCs w:val="24"/>
        </w:rPr>
        <w:t xml:space="preserve">  </w:t>
      </w:r>
      <w:r w:rsidRPr="00B15E07">
        <w:rPr>
          <w:rFonts w:cs="Arial"/>
          <w:color w:val="000000"/>
        </w:rPr>
        <w:t xml:space="preserve">You must be clear about what your purposes for processing are from the start. You need to record your purposes as part of your documentation obligations and specify them in your privacy information for clients. You can only use the personal data for a new purpose if either this is compatible with your original purpose, you get consent, or you have a clear basis in law. Reference your local Marac Operating/Information Sharing Protocol which will detail the Lawful Basis for information sharing in the Marac process. </w:t>
      </w:r>
    </w:p>
    <w:p w:rsidR="00C74F5D" w:rsidP="00C74F5D" w:rsidRDefault="00C74F5D">
      <w:pPr>
        <w:shd w:val="clear" w:color="auto" w:fill="FFFFFF"/>
        <w:spacing w:before="100" w:beforeAutospacing="1" w:after="0" w:line="240" w:lineRule="auto"/>
        <w:rPr>
          <w:rFonts w:cs="Arial"/>
          <w:color w:val="000000"/>
        </w:rPr>
      </w:pPr>
      <w:r w:rsidRPr="00B15E07">
        <w:rPr>
          <w:rFonts w:cs="Arial"/>
          <w:b/>
          <w:color w:val="2E74B5" w:themeColor="accent1" w:themeShade="BF"/>
          <w:sz w:val="28"/>
        </w:rPr>
        <w:t>Lawful Basis</w:t>
      </w:r>
      <w:r w:rsidRPr="00B15E07">
        <w:rPr>
          <w:rFonts w:cs="Arial"/>
          <w:b/>
          <w:color w:val="2E74B5" w:themeColor="accent1" w:themeShade="BF"/>
        </w:rPr>
        <w:t>:</w:t>
      </w:r>
      <w:r>
        <w:rPr>
          <w:rFonts w:cs="Arial"/>
          <w:b/>
          <w:color w:val="2E74B5" w:themeColor="accent1" w:themeShade="BF"/>
        </w:rPr>
        <w:t xml:space="preserve">  </w:t>
      </w:r>
      <w:r w:rsidRPr="00B15E07">
        <w:rPr>
          <w:rFonts w:cs="Arial"/>
          <w:color w:val="000000"/>
        </w:rPr>
        <w:t>There are six available lawful bases for processing. No single basis is ’better’ or more important than the others – which basis is most appropriate to use will depend on your purpose and relationship with the individual. Most lawful bases require that processing is ‘necessary’. If you can reasonably achieve the same purpose without the processing, you won’t have a lawful basis.   You must determine your lawful basis before you begin processing, and you should document it. Take care to get it right first time - you should not swap to a different lawful basis at a later date without good reason. Your privacy notice should include your lawful basis for processing as well as the purposes of the processing. If your purposes change, you may be able to continue processing under the original lawful basis if your new purpose is compatible with your initial purpose (unless your original lawful basis was consent).If you are processing special category data you need to identify both a lawful basis for general processing and an additional condition for processing this type of data. If you are processing criminal conviction data or data about offences you need to identify both a lawful basis for general processing and an additional condition for processing this type of dat</w:t>
      </w:r>
      <w:r>
        <w:rPr>
          <w:rFonts w:cs="Arial"/>
          <w:color w:val="000000"/>
        </w:rPr>
        <w:t>a.</w:t>
      </w:r>
    </w:p>
    <w:p w:rsidRPr="00B15E07" w:rsidR="00C74F5D" w:rsidP="00C74F5D" w:rsidRDefault="00C74F5D">
      <w:pPr>
        <w:shd w:val="clear" w:color="auto" w:fill="FFFFFF"/>
        <w:spacing w:after="0" w:line="240" w:lineRule="auto"/>
        <w:rPr>
          <w:rFonts w:cs="Arial"/>
          <w:color w:val="000000"/>
        </w:rPr>
      </w:pPr>
      <w:r w:rsidRPr="00B15E07">
        <w:rPr>
          <w:rStyle w:val="SubtleReference"/>
          <w:color w:val="2E74B5" w:themeColor="accent1" w:themeShade="BF"/>
          <w:sz w:val="28"/>
        </w:rPr>
        <w:t>Consent:</w:t>
      </w:r>
      <w:r>
        <w:rPr>
          <w:rStyle w:val="SubtleReference"/>
          <w:color w:val="2E74B5" w:themeColor="accent1" w:themeShade="BF"/>
        </w:rPr>
        <w:t xml:space="preserve">   </w:t>
      </w:r>
      <w:r w:rsidRPr="00B15E07">
        <w:rPr>
          <w:rFonts w:cs="Arial"/>
        </w:rPr>
        <w:t xml:space="preserve">The GDPR sets a high standard for consent. But you often won’t need consent. Consent means offering individuals real choice and control. Genuine consent should put individuals in charge, build trust and engagement.  When a person is assessed to be at high risk of serious harm or homicide (Marac threshold) information can be shared without consent thus the client cannot choose or control the process. </w:t>
      </w:r>
      <w:r w:rsidRPr="00B15E07">
        <w:rPr>
          <w:rFonts w:cs="Arial"/>
          <w:color w:val="000000"/>
        </w:rPr>
        <w:t>In order to lawfully process special category data (formally sensitive data), you must identify both a lawful basis under Article 6 and a separate condition for processing special category data under Article 9. These do not have to be linked.</w:t>
      </w:r>
    </w:p>
    <w:p w:rsidRPr="00B15E07" w:rsidR="00C74F5D" w:rsidP="00C74F5D" w:rsidRDefault="00C74F5D">
      <w:pPr>
        <w:pStyle w:val="NoSpacing"/>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You must ensure the personal data you are processing is:</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adequate – sufficient to properly fulfil your stated purpose;</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relevant – has a rational link to that purpose; and</w:t>
      </w:r>
    </w:p>
    <w:p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limited to what is necessary – you do not hold more than you need for that purpose.</w:t>
      </w:r>
    </w:p>
    <w:p w:rsidRPr="00B15E07" w:rsidR="00C74F5D" w:rsidP="00C74F5D" w:rsidRDefault="00C74F5D">
      <w:pPr>
        <w:pStyle w:val="NoSpacing"/>
        <w:ind w:left="720"/>
        <w:rPr>
          <w:rFonts w:asciiTheme="minorHAnsi" w:hAnsiTheme="minorHAnsi"/>
          <w:color w:val="2E74B5" w:themeColor="accent1" w:themeShade="BF"/>
          <w:sz w:val="22"/>
          <w:szCs w:val="22"/>
        </w:rPr>
      </w:pPr>
    </w:p>
    <w:p w:rsidRPr="00B15E07" w:rsidR="00C74F5D" w:rsidP="00C74F5D" w:rsidRDefault="00C74F5D">
      <w:pPr>
        <w:shd w:val="clear" w:color="auto" w:fill="FFFFFF"/>
        <w:spacing w:before="120" w:after="0" w:line="240" w:lineRule="auto"/>
      </w:pPr>
      <w:r w:rsidRPr="00B15E07">
        <w:rPr>
          <w:b/>
          <w:color w:val="2E74B5" w:themeColor="accent1" w:themeShade="BF"/>
          <w:sz w:val="28"/>
        </w:rPr>
        <w:t>Safety:</w:t>
      </w:r>
      <w:r>
        <w:rPr>
          <w:b/>
          <w:color w:val="2E74B5" w:themeColor="accent1" w:themeShade="BF"/>
        </w:rPr>
        <w:t xml:space="preserve">  </w:t>
      </w:r>
      <w:r w:rsidRPr="00B15E07">
        <w:t>The safety of the victim and children living with domestic abuse is paramount.</w:t>
      </w:r>
    </w:p>
    <w:p w:rsidRPr="00B15E07" w:rsidR="00C74F5D" w:rsidP="00C74F5D" w:rsidRDefault="00C74F5D">
      <w:pPr>
        <w:spacing w:after="0"/>
      </w:pPr>
      <w:r w:rsidRPr="00B15E07">
        <w:t xml:space="preserve">When considering whether to share information you must always consider risk factors – how great is the risk? Will that risk increase if information is shared. Can that risk be managed? Do I need to limit who the information is shared with? Record and document all decisions whether to share or not to share information. Decisions should be defensible NOT defensive. </w:t>
      </w:r>
    </w:p>
    <w:p w:rsidRPr="00B15E07" w:rsidR="00C74F5D" w:rsidP="00C74F5D" w:rsidRDefault="00C74F5D">
      <w:pPr>
        <w:shd w:val="clear" w:color="auto" w:fill="FFFFFF"/>
        <w:spacing w:before="120" w:after="0" w:line="240" w:lineRule="auto"/>
        <w:rPr>
          <w:rStyle w:val="SubtleReference"/>
          <w:color w:val="2E74B5" w:themeColor="accent1" w:themeShade="BF"/>
        </w:rPr>
      </w:pPr>
      <w:r w:rsidRPr="00B15E07">
        <w:rPr>
          <w:rStyle w:val="SubtleReference"/>
          <w:color w:val="2E74B5" w:themeColor="accent1" w:themeShade="BF"/>
          <w:sz w:val="28"/>
        </w:rPr>
        <w:t>Useful Links:</w:t>
      </w:r>
    </w:p>
    <w:p w:rsidRPr="00B15E07" w:rsidR="00C74F5D" w:rsidP="00C74F5D" w:rsidRDefault="00C74F5D">
      <w:pPr>
        <w:spacing w:after="0"/>
        <w:rPr>
          <w:bCs/>
          <w:color w:val="2E74B5" w:themeColor="accent1" w:themeShade="BF"/>
        </w:rPr>
      </w:pPr>
      <w:r w:rsidRPr="00B15E07">
        <w:rPr>
          <w:rStyle w:val="SubtleReference"/>
          <w:color w:val="2E74B5" w:themeColor="accent1" w:themeShade="BF"/>
        </w:rPr>
        <w:t xml:space="preserve">SafeLives recommend that all practitioners have a good working knowledge of the provisions in </w:t>
      </w:r>
      <w:hyperlink w:history="1" r:id="rId9">
        <w:r w:rsidRPr="00B15E07">
          <w:rPr>
            <w:rStyle w:val="Hyperlink"/>
            <w:color w:val="2E74B5" w:themeColor="accent1" w:themeShade="BF"/>
          </w:rPr>
          <w:t>The GDPR 2018 and the Data Protection Act 2018)</w:t>
        </w:r>
      </w:hyperlink>
      <w:r w:rsidRPr="00B15E07">
        <w:rPr>
          <w:rStyle w:val="SubtleReference"/>
          <w:color w:val="2E74B5" w:themeColor="accent1" w:themeShade="BF"/>
          <w:u w:val="single"/>
        </w:rPr>
        <w:t xml:space="preserve"> </w:t>
      </w:r>
      <w:r w:rsidRPr="00B15E07">
        <w:rPr>
          <w:rStyle w:val="SubtleReference"/>
          <w:color w:val="2E74B5" w:themeColor="accent1" w:themeShade="BF"/>
        </w:rPr>
        <w:t>and refer to the ICO for advice &amp; guidance on information sharing. You should also refer to internal policies and your local Marac Operating Protocol/Information Sharing Protocol.</w:t>
      </w:r>
    </w:p>
    <w:p w:rsidRPr="00B15E07" w:rsidR="00C74F5D" w:rsidP="00C74F5D" w:rsidRDefault="00C74F5D">
      <w:pPr>
        <w:shd w:val="clear" w:color="auto" w:fill="FFFFFF"/>
        <w:spacing w:before="120" w:after="0" w:line="240" w:lineRule="auto"/>
        <w:rPr>
          <w:rFonts w:cs="Arial"/>
          <w:color w:val="000000"/>
        </w:rPr>
      </w:pPr>
      <w:r w:rsidRPr="00B15E07">
        <w:rPr>
          <w:rFonts w:cs="Arial"/>
          <w:color w:val="000000"/>
        </w:rPr>
        <w:t>The ICO have published detailed guidance on </w:t>
      </w:r>
      <w:hyperlink w:tooltip="Children and the GDPR" w:history="1" r:id="rId10">
        <w:r w:rsidRPr="00B15E07">
          <w:rPr>
            <w:rStyle w:val="Hyperlink"/>
            <w:rFonts w:cs="Arial"/>
            <w:color w:val="0059A9"/>
          </w:rPr>
          <w:t>children and the GDPR</w:t>
        </w:r>
      </w:hyperlink>
      <w:r w:rsidRPr="00B15E07">
        <w:rPr>
          <w:rFonts w:cs="Arial"/>
          <w:color w:val="000000"/>
        </w:rPr>
        <w:t>.</w:t>
      </w:r>
    </w:p>
    <w:p w:rsidRPr="00B15E07" w:rsidR="00C74F5D" w:rsidP="00C74F5D" w:rsidRDefault="00C74F5D">
      <w:pPr>
        <w:pStyle w:val="NormalWeb"/>
        <w:shd w:val="clear" w:color="auto" w:fill="FFFFFF"/>
        <w:spacing w:before="0" w:beforeAutospacing="0" w:after="0" w:afterAutospacing="0"/>
        <w:rPr>
          <w:rFonts w:cs="Arial" w:asciiTheme="minorHAnsi" w:hAnsiTheme="minorHAnsi"/>
          <w:color w:val="000000"/>
          <w:sz w:val="22"/>
          <w:szCs w:val="22"/>
        </w:rPr>
      </w:pPr>
      <w:r w:rsidRPr="00B15E07">
        <w:rPr>
          <w:rFonts w:cs="Arial" w:asciiTheme="minorHAnsi" w:hAnsiTheme="minorHAnsi"/>
          <w:color w:val="000000"/>
          <w:sz w:val="22"/>
          <w:szCs w:val="22"/>
        </w:rPr>
        <w:t>ICO guidance on </w:t>
      </w:r>
      <w:hyperlink w:tooltip="What is personal data?" w:history="1" r:id="rId11">
        <w:r w:rsidRPr="00B15E07">
          <w:rPr>
            <w:rStyle w:val="Hyperlink"/>
            <w:rFonts w:cs="Arial" w:asciiTheme="minorHAnsi" w:hAnsiTheme="minorHAnsi"/>
            <w:color w:val="0059A9"/>
            <w:sz w:val="22"/>
            <w:szCs w:val="22"/>
          </w:rPr>
          <w:t>determining what is personal data</w:t>
        </w:r>
      </w:hyperlink>
      <w:r w:rsidRPr="00B15E07">
        <w:rPr>
          <w:rFonts w:cs="Arial" w:asciiTheme="minorHAnsi" w:hAnsiTheme="minorHAnsi"/>
          <w:color w:val="000000"/>
          <w:sz w:val="22"/>
          <w:szCs w:val="22"/>
        </w:rPr>
        <w:t>.</w:t>
      </w:r>
    </w:p>
    <w:p w:rsidRPr="00B15E07" w:rsidR="00C74F5D" w:rsidP="00C74F5D" w:rsidRDefault="00C74F5D">
      <w:pPr>
        <w:shd w:val="clear" w:color="auto" w:fill="FFFFFF"/>
        <w:spacing w:after="0" w:line="240" w:lineRule="auto"/>
        <w:rPr>
          <w:rFonts w:cs="Arial"/>
          <w:color w:val="000000"/>
        </w:rPr>
      </w:pPr>
      <w:hyperlink w:history="1" r:id="rId12">
        <w:r w:rsidRPr="00B15E07">
          <w:rPr>
            <w:rStyle w:val="Hyperlink"/>
            <w:rFonts w:cs="Arial"/>
          </w:rPr>
          <w:t>The ICO guidance</w:t>
        </w:r>
      </w:hyperlink>
      <w:r w:rsidRPr="00B15E07">
        <w:rPr>
          <w:rFonts w:cs="Arial"/>
          <w:color w:val="000000"/>
        </w:rPr>
        <w:t xml:space="preserve"> will help you to understand what information you need to provide people with when you collect their personal data, when it needs to be provided, and how you can provide it.</w:t>
      </w:r>
    </w:p>
    <w:p w:rsidRPr="00B15E07" w:rsidR="00C74F5D" w:rsidP="00C74F5D" w:rsidRDefault="00C74F5D">
      <w:pPr>
        <w:spacing w:after="0"/>
      </w:pPr>
      <w:hyperlink w:history="1" r:id="rId13">
        <w:r w:rsidRPr="00B15E07">
          <w:rPr>
            <w:rStyle w:val="Hyperlink"/>
          </w:rPr>
          <w:t>GDPR – A Briefing for Maracs (SafeLives)</w:t>
        </w:r>
      </w:hyperlink>
    </w:p>
    <w:p w:rsidRPr="00B15E07" w:rsidR="00C74F5D" w:rsidP="00C74F5D" w:rsidRDefault="00C74F5D">
      <w:pPr>
        <w:spacing w:after="0"/>
        <w:rPr>
          <w:rStyle w:val="Hyperlink"/>
        </w:rPr>
      </w:pPr>
      <w:hyperlink w:history="1" r:id="rId14">
        <w:r w:rsidRPr="00B15E07">
          <w:rPr>
            <w:rStyle w:val="Hyperlink"/>
          </w:rPr>
          <w:t>s.115 Crime &amp; Disorder Act 1998</w:t>
        </w:r>
      </w:hyperlink>
    </w:p>
    <w:p w:rsidRPr="00B15E07" w:rsidR="00C74F5D" w:rsidP="00C74F5D" w:rsidRDefault="00C74F5D">
      <w:pPr>
        <w:spacing w:after="0"/>
      </w:pPr>
      <w:r w:rsidRPr="00B15E07">
        <w:rPr>
          <w:rStyle w:val="Hyperlink"/>
        </w:rPr>
        <w:t>If in doubt always seek advice from management/ Data Protection Officer and or legal experts</w:t>
      </w:r>
    </w:p>
    <w:p w:rsidR="00C74F5D" w:rsidP="00C74F5D" w:rsidRDefault="00C74F5D">
      <w:pPr>
        <w:spacing w:after="0"/>
        <w:rPr>
          <w:sz w:val="24"/>
          <w:szCs w:val="24"/>
        </w:rPr>
      </w:pPr>
    </w:p>
    <w:p w:rsidR="00321FF3" w:rsidRDefault="00321FF3"/>
    <w:sectPr w:rsidR="00321FF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54" w:rsidRDefault="00C74F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25137"/>
      <w:docPartObj>
        <w:docPartGallery w:val="Page Numbers (Bottom of Page)"/>
        <w:docPartUnique/>
      </w:docPartObj>
    </w:sdtPr>
    <w:sdtEndPr/>
    <w:sdtContent>
      <w:sdt>
        <w:sdtPr>
          <w:id w:val="-1769616900"/>
          <w:docPartObj>
            <w:docPartGallery w:val="Page Numbers (Top of Page)"/>
            <w:docPartUnique/>
          </w:docPartObj>
        </w:sdtPr>
        <w:sdtEndPr/>
        <w:sdtContent>
          <w:p w:rsidR="00B14A1C" w:rsidRDefault="00C74F5D" w:rsidP="00B14A1C">
            <w:pPr>
              <w:pStyle w:val="Footer"/>
            </w:pPr>
            <w:hyperlink r:id="rId1" w:history="1">
              <w:r w:rsidRPr="003F36D1">
                <w:rPr>
                  <w:rStyle w:val="Hyperlink"/>
                </w:rPr>
                <w:t>www.safelives.org.uk</w:t>
              </w:r>
            </w:hyperlink>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6D57DD" w:rsidRDefault="00C74F5D">
    <w:pPr>
      <w:pStyle w:val="Footer"/>
      <w:jc w:val="center"/>
      <w:rPr>
        <w:caps/>
        <w:noProof/>
        <w:color w:val="5B9BD5" w:themeColor="accent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54" w:rsidRDefault="00C74F5D">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54" w:rsidRDefault="00C74F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temporary/>
      <w:showingPlcHdr/>
    </w:sdtPr>
    <w:sdtEndPr/>
    <w:sdtContent>
      <w:p w:rsidR="00B14A1C" w:rsidRDefault="00C74F5D">
        <w:pPr>
          <w:pStyle w:val="Header"/>
        </w:pPr>
        <w:r>
          <w:t>[Type here]</w:t>
        </w:r>
      </w:p>
    </w:sdtContent>
  </w:sdt>
  <w:p w:rsidR="00B14A1C" w:rsidRDefault="00C74F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54" w:rsidRDefault="00C74F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6417"/>
    <w:multiLevelType w:val="hybridMultilevel"/>
    <w:tmpl w:val="0AA6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038EE"/>
    <w:multiLevelType w:val="hybridMultilevel"/>
    <w:tmpl w:val="99BE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5D"/>
    <w:rsid w:val="00321FF3"/>
    <w:rsid w:val="00C74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775"/>
  <w15:chartTrackingRefBased/>
  <w15:docId w15:val="{60145A54-9423-4E41-92B3-76380116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F5D"/>
    <w:rPr>
      <w:color w:val="0563C1" w:themeColor="hyperlink"/>
      <w:u w:val="single"/>
    </w:rPr>
  </w:style>
  <w:style w:type="table" w:styleId="TableGrid">
    <w:name w:val="Table Grid"/>
    <w:basedOn w:val="TableNormal"/>
    <w:uiPriority w:val="59"/>
    <w:rsid w:val="00C7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5D"/>
  </w:style>
  <w:style w:type="paragraph" w:styleId="Footer">
    <w:name w:val="footer"/>
    <w:basedOn w:val="Normal"/>
    <w:link w:val="FooterChar"/>
    <w:uiPriority w:val="99"/>
    <w:unhideWhenUsed/>
    <w:rsid w:val="00C74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5D"/>
  </w:style>
  <w:style w:type="paragraph" w:styleId="NoSpacing">
    <w:name w:val="No Spacing"/>
    <w:uiPriority w:val="1"/>
    <w:qFormat/>
    <w:rsid w:val="00C74F5D"/>
    <w:pPr>
      <w:spacing w:before="100" w:after="0" w:line="240" w:lineRule="auto"/>
    </w:pPr>
    <w:rPr>
      <w:rFonts w:ascii="Arial" w:eastAsia="Times New Roman" w:hAnsi="Arial" w:cs="Raavi"/>
      <w:sz w:val="20"/>
      <w:szCs w:val="20"/>
      <w:lang w:eastAsia="en-GB"/>
    </w:rPr>
  </w:style>
  <w:style w:type="character" w:styleId="SubtleReference">
    <w:name w:val="Subtle Reference"/>
    <w:uiPriority w:val="31"/>
    <w:qFormat/>
    <w:rsid w:val="00C74F5D"/>
    <w:rPr>
      <w:b/>
      <w:bCs/>
      <w:color w:val="009FDF"/>
    </w:rPr>
  </w:style>
  <w:style w:type="paragraph" w:customStyle="1" w:styleId="Default">
    <w:name w:val="Default"/>
    <w:rsid w:val="00C74F5D"/>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NormalWeb">
    <w:name w:val="Normal (Web)"/>
    <w:basedOn w:val="Normal"/>
    <w:uiPriority w:val="99"/>
    <w:semiHidden/>
    <w:unhideWhenUsed/>
    <w:rsid w:val="00C74F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rinciples/" TargetMode="External"/><Relationship Id="rId13" Type="http://schemas.openxmlformats.org/officeDocument/2006/relationships/hyperlink" Target="http://www.safelives.org.uk/sites/default/files/resources/GDPR%20Briefing%20for%20Maracs__0.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co.org.uk/for-organisations/guide-to-the-general-data-protection-regulation-gdpr/lawful-basis-for-processing/legitimate-interests/" TargetMode="External"/><Relationship Id="rId12" Type="http://schemas.openxmlformats.org/officeDocument/2006/relationships/hyperlink" Target="https://ico.org.uk/for-organisations/guide-to-the-general-data-protection-regulation-gdpr/the-right-to-be-inform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lawful-basis-for-processing/vital-interests/" TargetMode="External"/><Relationship Id="rId11" Type="http://schemas.openxmlformats.org/officeDocument/2006/relationships/hyperlink" Target="https://ico.org.uk/for-organisations/guide-to-the-general-data-protection-regulation-gdpr/what-is-personal-data/" TargetMode="External"/><Relationship Id="rId5" Type="http://schemas.openxmlformats.org/officeDocument/2006/relationships/hyperlink" Target="https://ico.org.uk/for-organisations/guide-to-the-general-data-protection-regulation-gdpr/" TargetMode="External"/><Relationship Id="rId15" Type="http://schemas.openxmlformats.org/officeDocument/2006/relationships/header" Target="header1.xml"/><Relationship Id="rId10" Type="http://schemas.openxmlformats.org/officeDocument/2006/relationships/hyperlink" Target="https://ico.org.uk/for-organisations/guide-to-the-general-data-protection-regulation-gdpr/children-and-the-gdp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 TargetMode="External"/><Relationship Id="rId14" Type="http://schemas.openxmlformats.org/officeDocument/2006/relationships/hyperlink" Target="https://www.legislation.gov.uk/ukpga/1998/37/section/11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fe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MARAC - Information sharing without consent form</dc:title>
  <dc:subject>
  </dc:subject>
  <dc:creator>Parfitt, Sammie-Lea</dc:creator>
  <cp:keywords>
  </cp:keywords>
  <dc:description>
  </dc:description>
  <cp:lastModifiedBy>K Gould</cp:lastModifiedBy>
  <cp:revision>1</cp:revision>
  <dcterms:created xsi:type="dcterms:W3CDTF">2020-01-16T08:51:00Z</dcterms:created>
  <dcterms:modified xsi:type="dcterms:W3CDTF">2021-06-14T14:31:40Z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ies>
</file>